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kurierskie z dwukrotnym wzrostem w ostatniej dekadzie. Branża spożywcza i gastronomiczna z impetem wkracza do Internetu - w 2021 6,5 tys. firm weszło do online’u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Sektory spożywczy i gastronomiczny dynamicznie rozwijają działalność online - tylko w 2021 r. niemal 4 tys. sklepów spożywczych oraz 2,5 tys. lokali gastronomicznych dodało do podstawowej działalności w KRS kod oznaczający sprzedaż przez Internet, która współcześnie staje się standardem. Przekłada się to na dynamiczny rozwój sektora usług kurierskich. Jednak tutaj dominują małe i jednoosobowe działalności, z których większość boryka się z problemami finansowymi.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 były bardzo trudne dla branży gastronomicznej. Wielu przedsiębiorców, by ratować się przed stratami i bankructwem, zdecydowało się na poszerzenie swojej oferty o sprzedaż jedzenia na wynos i w dostawie.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2021 r. 2,5 tys. właścicieli gastronomii dodało do swojej głównej działalności w KRS kod branżowy oznaczający sprzedaż przez Internet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przeprowadzonej przez globalną wywiadownię gospodarczą Dun &amp; Bradstreet. Ta strategia do pewnego stopnia okazała się skuteczna - w ubiegłym roku mimo trudnego czasu w KRS przybyło 3 tys. lokali gastronomicznych. Jednak w pierwszym kwartale 2022 r. liczba ta nie zwiększyła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firm gastronomicznych jest w złej kondycji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kondycja finansowa branży uległa pogorszeniu - w marcu 2022 r. aż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firm znajdowało się w złej lub bardzo złej kondycji finansowej</w:t>
      </w:r>
      <w:r>
        <w:rPr>
          <w:rFonts w:ascii="calibri" w:hAnsi="calibri" w:eastAsia="calibri" w:cs="calibri"/>
          <w:sz w:val="24"/>
          <w:szCs w:val="24"/>
        </w:rPr>
        <w:t xml:space="preserve">. Z pozostałych 22 proc. kondycję zaledwie 3,7 proc. można określić jako bardzo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najgorszej sytuacji są firmy cateringowe</w:t>
      </w:r>
      <w:r>
        <w:rPr>
          <w:rFonts w:ascii="calibri" w:hAnsi="calibri" w:eastAsia="calibri" w:cs="calibri"/>
          <w:sz w:val="24"/>
          <w:szCs w:val="24"/>
        </w:rPr>
        <w:t xml:space="preserve"> - liczba tych w złej lub bardzo złej kondycji finansowej w ciągu roku wzrosła z 60 proc. do ponad 77 proc. Oznacza to, że aż ⅔ z nich odczuwa obecnie mniejsze lub większe problemy finansowe. W opinii Dun &amp; Bradstreet wynika to z ograniczeń w organizacji wesel, imprez i różnego rodzaju zgromadzeń.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gastronomiczny w Polsce pozostawał w dobrej kondycji przez ponad 10 lat, a jego wartość rosła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 marcem 2020 dostawa stanowiła mniej niż 10 proc. obrotów lokali gastronomicznych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2020 r. wartość branży spadła aż o 32 proc., a dostawy szybko stały się dla wielu miejsc jedynym źródłem przychodów. Teraz możliwość dostawy to w zasadzie standard, konsumenci cenią sobie wygodę tego rozwiązania. Firmy łączą ten trend z q-commerce i starają się oferować klientom jak najszybszy dowóz zamówień. Kryzys sprowadził więc na gastronomię ogromne problemy, ale jednocześnie stał się szansą na rozwój. To dotyczy zresztą wielu branż, o których szczegółowo piszemy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opracowaniu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temat tego, jak pandemia wymusiła transformację cyfrową.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branż, które w ciągu ostatnich dwóch lat bardzo rozwinęły działalność w Internecie, jest branża spożywcza. Według analizy KRS od Dun &amp; Bradstreet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sklepy spożywcze najczęściej dodawały do swojej podstawowej działalności kod PKD oznaczający sprzedaż przez Internet - w sumie blisko 4 tys. firm tylko w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branży kurierskiej w dobrej sytuacji finansowej są tylko duże i znane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dostaw i sprzedaży internetowej przełożył się na rozwój branży kurierskiej. Według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liczba firm kurierskich, która w ciągu ostatniej dekady i tak zwiększyła się dwukrotnie, w ciągu ostatnich dwóch lat rosła w tempie dwucyfrowym</w:t>
      </w:r>
      <w:r>
        <w:rPr>
          <w:rFonts w:ascii="calibri" w:hAnsi="calibri" w:eastAsia="calibri" w:cs="calibri"/>
          <w:sz w:val="24"/>
          <w:szCs w:val="24"/>
        </w:rPr>
        <w:t xml:space="preserve">. Obecnie w tym sektorze jest zarejestrowanych 7,5 tys.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wzrost wolumenu dostarczanych paczek wyniósł 44 proc., przychody firm kurierskich wzrosły o 1,7 mld zł w stosunku do 2019 r., a wartość rynku przesyłek pocztowych osiągnęła 11,5 mld zł. Paczkomaty - nie tylko InPostu, bo własną sieć maszyn do odbioru paczek rozwijają również Poczta Polska, Allegro, PKN Orlen czy Aliexpress - stoją już niemal na każdym zakręcie.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firmy kurierskie mierzą się z nowym wyzwaniem, jakim jest rosnąca popularność q-commerce i konieczność zapewnienia odbiorcom jak najkrótszego czasu dostawy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wymaga usprawnienia łańcucha dostaw i sieci logistycznych. Analitycy przewidują,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2023 r. wartość rynku pocztowego osiągnie 16,2 mld zł przy obsłudze ponad miliarda przesyłek rocznie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dynamiczny rozwój, jeśli chodzi o liczbę firm kurierskich, nie idzie w parze z dobrą kondycją finansową sektora,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lub większe kłopoty finansowe ma w sumie ¾ podmiotów</w:t>
      </w:r>
      <w:r>
        <w:rPr>
          <w:rFonts w:ascii="calibri" w:hAnsi="calibri" w:eastAsia="calibri" w:cs="calibri"/>
          <w:sz w:val="24"/>
          <w:szCs w:val="24"/>
        </w:rPr>
        <w:t xml:space="preserve">. W dobrej sytuacji finansowej są firmy duże i znane, ale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dominują małe i jednoosobowe działalności i to one przede wszystkim borykają się z problemami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2025-07-05T19:12:47+02:00</dcterms:created>
  <dcterms:modified xsi:type="dcterms:W3CDTF">2025-07-05T19:12:47+02:00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