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¾ Polaków stara się optymalizować wydatki, a ponad połowa obawia się inflacji. Komentarz eksperta na temat zagrożeń i szans eCommerce w czasach kryzysu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eCommerce zmaga się z problemami będącymi rezultatem światowego kryzysu gospodarczego oraz spowolnieniem wynikającym z powrotu części konsumentów do zakupów stacjonarnych. W tej sytuacji niektórzy przedsiębiorcy decydują się na nieprzemyślane działania, które mogą kosztować ich utratę klientów. Jednak Polacy nie rezygnują z zakupów online, a dla aż 79 proc. jest to najbardziej atrakcyjny kanał zakupowy. Z analizą aktualnej sytuacji eCommerce oraz stojących przed nim wyzwań i możliwości można zapoznać się w e-booku Advox Studio “eCommerce w czasach kryzysu”.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dwa lata, okres kryzysu, były jednocześnie okresem błyskawicznego rozwoju eCommerce, który stał się ratunkiem dla sklepów niebędących w stanie działać stacjonarnie i dla pozostałych w domach konsumentów. Z najnowszej analizy KRS, przeprowadzonej przez wywiadownię gospodarczą Dun &amp; Bradstreet,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liczba zarejestrowanych w Polsce sklepów internetowych od września 2019 r. do września 2022 r. wzrosła aż o 63 proc</w:t>
      </w:r>
      <w:r>
        <w:rPr>
          <w:rFonts w:ascii="calibri" w:hAnsi="calibri" w:eastAsia="calibri" w:cs="calibri"/>
          <w:sz w:val="24"/>
          <w:szCs w:val="24"/>
        </w:rPr>
        <w:t xml:space="preserve">. Od początku roku do końca trzeciego kwartału 2022 r. na polskim rynku przybyło 3,3 tys. sklepów internetowych. Obecna sytuacja gospodarcza stawia jednak przed eCommerce - tak jak przed całym handlem - zupełnie nowe wyzwania.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Inflacja, zmienione nawyki konsumenckie, napięta sytuacja polityczna, wojna w Ukrainie oraz niedobór surowców - to wszystko sprawia, że niektórzy przedsiębiorcy decydują się na gwałtowne ruchy, mające na celu szybką poprawę sytuacji w krótkim okresie. Należą do nich np. nagłe podwyżki cen oraz obcinanie budżetów marketingowych czy tych poświęconych na rozwój technologii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, software house’u z główną siedzibą w Poznaniu i oddziałami w Europie, który zrealizował ponad 200 projektów eCommerce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Być może w tym roku globalny rynek eCommerce pierwszy raz w historii odnotuje zmniejszenie przychodów. Należy jednak pamiętać, że klienci nie przestaną nagle kupować. Warto więc wziąć głęboki oddech i zastanowić się raczej, co można zrobić, by utrzymać obecną pozycję na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osłabienie rynku eCommerce składa się kilka czynników. </w:t>
      </w:r>
      <w:r>
        <w:rPr>
          <w:rFonts w:ascii="calibri" w:hAnsi="calibri" w:eastAsia="calibri" w:cs="calibri"/>
          <w:sz w:val="24"/>
          <w:szCs w:val="24"/>
          <w:b/>
        </w:rPr>
        <w:t xml:space="preserve">Odmrożenie gospodarki</w:t>
      </w:r>
      <w:r>
        <w:rPr>
          <w:rFonts w:ascii="calibri" w:hAnsi="calibri" w:eastAsia="calibri" w:cs="calibri"/>
          <w:sz w:val="24"/>
          <w:szCs w:val="24"/>
        </w:rPr>
        <w:t xml:space="preserve"> po okresie pandemicznych obostrzeń skłoniło część konsumentów do powrotu do zakupów stacjonarnych. </w:t>
      </w:r>
      <w:r>
        <w:rPr>
          <w:rFonts w:ascii="calibri" w:hAnsi="calibri" w:eastAsia="calibri" w:cs="calibri"/>
          <w:sz w:val="24"/>
          <w:szCs w:val="24"/>
          <w:b/>
        </w:rPr>
        <w:t xml:space="preserve">Wzrost cen</w:t>
      </w:r>
      <w:r>
        <w:rPr>
          <w:rFonts w:ascii="calibri" w:hAnsi="calibri" w:eastAsia="calibri" w:cs="calibri"/>
          <w:sz w:val="24"/>
          <w:szCs w:val="24"/>
        </w:rPr>
        <w:t xml:space="preserve"> spowodował zmianę nawyków konsumenckich, jak np. rezygnacja z tzw. towarów luksusowych i ograniczenie się do tych bardziej potrzebnych na co dzień. Od początku pandemii problem stanowił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utrudniony dostęp do różnego rodzaju towarów i surowców</w:t>
      </w:r>
      <w:r>
        <w:rPr>
          <w:rFonts w:ascii="calibri" w:hAnsi="calibri" w:eastAsia="calibri" w:cs="calibri"/>
          <w:sz w:val="24"/>
          <w:szCs w:val="24"/>
        </w:rPr>
        <w:t xml:space="preserve">, który w obecnej sytuacji politycznej jeszcze się pogłębił. Dodatkowo na polskim rynku </w:t>
      </w:r>
      <w:r>
        <w:rPr>
          <w:rFonts w:ascii="calibri" w:hAnsi="calibri" w:eastAsia="calibri" w:cs="calibri"/>
          <w:sz w:val="24"/>
          <w:szCs w:val="24"/>
          <w:b/>
        </w:rPr>
        <w:t xml:space="preserve">wojna w Ukrainie</w:t>
      </w:r>
      <w:r>
        <w:rPr>
          <w:rFonts w:ascii="calibri" w:hAnsi="calibri" w:eastAsia="calibri" w:cs="calibri"/>
          <w:sz w:val="24"/>
          <w:szCs w:val="24"/>
        </w:rPr>
        <w:t xml:space="preserve"> i organizacja pomocy dla naszych sąsiadów zwiększyły zapotrzebowanie na żywność, środki higieniczne i farmaceutyki, czyli produkty, które Polacy najczęściej nadal kupują stacjonarnie.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Izby Gospodarki Elektronicznej,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 Polaków obawia się inflacji, a 71 proc. stara się optymalizować swoje wydatki</w:t>
      </w:r>
      <w:r>
        <w:rPr>
          <w:rFonts w:ascii="calibri" w:hAnsi="calibri" w:eastAsia="calibri" w:cs="calibri"/>
          <w:sz w:val="24"/>
          <w:szCs w:val="24"/>
        </w:rPr>
        <w:t xml:space="preserve">. Jednak w przypadku eCommerce wzrost cen nie jest jedynym problemem związanym z inflacją - dochodzi do tego </w:t>
      </w:r>
      <w:r>
        <w:rPr>
          <w:rFonts w:ascii="calibri" w:hAnsi="calibri" w:eastAsia="calibri" w:cs="calibri"/>
          <w:sz w:val="24"/>
          <w:szCs w:val="24"/>
          <w:b/>
        </w:rPr>
        <w:t xml:space="preserve">wzmożona konkurencja cenowa</w:t>
      </w:r>
      <w:r>
        <w:rPr>
          <w:rFonts w:ascii="calibri" w:hAnsi="calibri" w:eastAsia="calibri" w:cs="calibri"/>
          <w:sz w:val="24"/>
          <w:szCs w:val="24"/>
        </w:rPr>
        <w:t xml:space="preserve"> pomiędzy sklepami internetowymi oferującymi te same produkty. To szczególny kłopot dla niewielkich podmiotów, które z racji mniejszych zamówień płacą wyższe ceny u dystrybutorów i mogą nie być w stanie zminimalizować swojej marży tak, by zachować konkurencyjność wobec większych sklepów.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Kupujemy mniej i rzadziej, ale wciąż przez Internet - według wspomnianego raport Izby Gospodarki Elektronicznej aż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79 proc. badanych uważa online za najbardziej atrakcyjny kanał zakupowy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Faktem jest, że przetrwanie w czasach inflacji, kryzysu ekologicznego i zerwanych łańcuchów dostaw nie będzie możliwe bez opracowania i wdrożenia odpowiedniej strategii, a bagatelizowanie wpływu tych wydarzeń na kondycję firmy to błąd, który może wywołać trudności w utrzymaniu jej pozycji na rynku </w:t>
      </w:r>
      <w:r>
        <w:rPr>
          <w:rFonts w:ascii="calibri" w:hAnsi="calibri" w:eastAsia="calibri" w:cs="calibri"/>
          <w:sz w:val="24"/>
          <w:szCs w:val="24"/>
        </w:rPr>
        <w:t xml:space="preserve">- dodaje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Jednak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eCommerce dysponuje szeregiem możliwości, które pozwolą mu przetrwać kryzys i wejść w nową rzeczywistość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od odroczonych płatności i automatyzacji działań marketingowych, przez optymalizację zachodzących procesów i redukcję kosztów, po działania marketingowe w duchu ekologii, CSR i zrównoważonego rozwoju, zgodnie z oczekiwaniami klientów. Pozostaje jedynie dopasować właściwą strategię do danego sklepu, aby na przyszłość eCommerce patrzeć z nadzieją.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szczegółową analizą problemów, z którymi mierzy się obecnie handel internetowy, oraz ich możliwych rozwiązań, można zapoznać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e-booku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“eCommerce w czasach kryzysu”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przygotowanych przez ekspertów z branży.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na koniec września 2022 r. Analizie poddano dane z rejestru KRS.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izba.pl/wydarzenia/raport-e-izby-w-kryzysie-do-e-commerce-2022/" TargetMode="External"/><Relationship Id="rId8" Type="http://schemas.openxmlformats.org/officeDocument/2006/relationships/hyperlink" Target="https://www.advox.pl/ebook-ecommerce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2026-07-01T19:51:27+02:00</dcterms:created>
  <dcterms:modified xsi:type="dcterms:W3CDTF">2026-07-01T19:51:27+02:00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