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Dyrektywa Omnibus - lepsza ochrona konsumenta i dodatkowe koszty dla eCommerce. Komentarz eksperta na temat nowych przepisów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dni wchodzi w życie unijna dyrektywa Omnibus, której celem jest zwiększenie ochrony praw konsumentów w handlu internetowym. Polska wersja tej ustawy na razie jest w powijakach, nie zdejmuje to jednak z polskich przedsiębiorców obowiązku podporządkowania się prawu UE. Niestety dostosowanie e-sklepów do nowych regulacji może kosztować - w zależności od sytuacji wyjściowej i rozmiaru sklepu może to być od tysiąca do nawet ponad 10 tys. zł. Z omówieniem znaczenia nowych przepisów dla handlu internetowego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28 maja</w:t>
      </w:r>
      <w:r>
        <w:rPr>
          <w:rFonts w:ascii="calibri" w:hAnsi="calibri" w:eastAsia="calibri" w:cs="calibri"/>
          <w:sz w:val="24"/>
          <w:szCs w:val="24"/>
        </w:rPr>
        <w:t xml:space="preserve"> wejdzie w życiu nowa unijna dyrektywa, tzw. </w:t>
      </w:r>
      <w:r>
        <w:rPr>
          <w:rFonts w:ascii="calibri" w:hAnsi="calibri" w:eastAsia="calibri" w:cs="calibri"/>
          <w:sz w:val="24"/>
          <w:szCs w:val="24"/>
          <w:b/>
        </w:rPr>
        <w:t xml:space="preserve">Omnibus</w:t>
      </w:r>
      <w:r>
        <w:rPr>
          <w:rFonts w:ascii="calibri" w:hAnsi="calibri" w:eastAsia="calibri" w:cs="calibri"/>
          <w:sz w:val="24"/>
          <w:szCs w:val="24"/>
        </w:rPr>
        <w:t xml:space="preserve">, regulująca zasady handlu internetowego i nakładająca na przedsiębiorców nowe obowiązki, mające na celu wzmocnienie ochrony konsumentów. By </w:t>
      </w:r>
      <w:r>
        <w:rPr>
          <w:rFonts w:ascii="calibri" w:hAnsi="calibri" w:eastAsia="calibri" w:cs="calibri"/>
          <w:sz w:val="24"/>
          <w:szCs w:val="24"/>
          <w:b/>
        </w:rPr>
        <w:t xml:space="preserve">zapobiec sztucznym podwyżkom cen</w:t>
      </w:r>
      <w:r>
        <w:rPr>
          <w:rFonts w:ascii="calibri" w:hAnsi="calibri" w:eastAsia="calibri" w:cs="calibri"/>
          <w:sz w:val="24"/>
          <w:szCs w:val="24"/>
        </w:rPr>
        <w:t xml:space="preserve">, Omnibus wprowadza wymóg, by w przypadku obniżki obok nowej ceny została umieszczona najniższa cena, jaka obowiązywała w ciągu 30 dni przed wprowadzeniem promocji. Platformy marketplace’owe, czyli np. Allegro, Amazon, czy sprzedażowa platforma Facebooka, będą też miały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tym, czy dany sprzedający jest przedsiębiorcą, czy osobą prywatną</w:t>
      </w:r>
      <w:r>
        <w:rPr>
          <w:rFonts w:ascii="calibri" w:hAnsi="calibri" w:eastAsia="calibri" w:cs="calibri"/>
          <w:sz w:val="24"/>
          <w:szCs w:val="24"/>
        </w:rPr>
        <w:t xml:space="preserve">. Ma to istotne znaczenie, ponieważ w tym drugim przypadku nie mają zastosowania przepisy ochrony konsumentów, jak np. prawo odstąpienia od umowy w ciągu 14 dni od daty otrzymania towaru. Informacja będzie udzielana na podstawie oświadczenia sprzedającego, a nieudzielenie jej będzie uznawane za nieuczciwą praktykę handlową.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 fałszywymi recenzjami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Naruszeniem prawa będzie również usuwanie i ukrywanie przez sklepy negatywnych opinii i zniechęcanie do ich zamieszczania, a także publikowanie lub zlecanie publikacji fałszywych opinii - czyli rekomendacji pochodzących od osób, które nigdy z danych produktów nie korzystały. </w:t>
      </w:r>
      <w:r>
        <w:rPr>
          <w:rFonts w:ascii="calibri" w:hAnsi="calibri" w:eastAsia="calibri" w:cs="calibri"/>
          <w:sz w:val="24"/>
          <w:szCs w:val="24"/>
          <w:b/>
        </w:rPr>
        <w:t xml:space="preserve">Na recenzje produktów na stronach sklepów zwraca uwagę aż ¾ internetowych konsumentów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 z główną siedzibą w Poznaniu i oddziałami w Europie, który zrealizował ponad 200 projektów sklepów internetowych. Sprzedawca będzie miał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wskazać, jakie działania podejmuje w celu weryfikacji opinii o produktach na jego stronie,</w:t>
      </w:r>
      <w:r>
        <w:rPr>
          <w:rFonts w:ascii="calibri" w:hAnsi="calibri" w:eastAsia="calibri" w:cs="calibri"/>
          <w:sz w:val="24"/>
          <w:szCs w:val="24"/>
        </w:rPr>
        <w:t xml:space="preserve"> a za zaniechanie w tym zakresie będą groziły sankcje.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dostosowania się do nowych przepisów może przekroczyć nawet 10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części nowych przepisów może niestety stanowić dla eCommerce’ów problem.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 z wdrożeniem zmian wynikających z dyrektywy Omnibus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zależą przede wszystkim od sytuacji zastanej oraz wielkości samego sklepu internetowego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małych sklepów opartych na platformach typu WooCommerce koszt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się zaczynał od 1000-1500 zł netto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platform typu Prestashop może wynieść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nawet kilka tysięcy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rozbudowanych eCommerce’ów opartych np. na platformie Magento, koszt implementacji wszystkich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 przewyższyć 10 tys.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związku z koniecznością modyfikacji aktualnej mechaniki dotyczącej strategii cenowej czy promocyjnej. Niezależnie od skali działania i dostawcy platformy sklepowej możemy się spodziewać, że, w odpowiedzi na zapotrzebowanie rynkowe powstawać będą gotowe moduły odpowiadające na zmiany dyrektywy Omnibus. Nie można jednak zapomnieć o weryfikacji ich jakości oraz zgodności z wprowadzonymi zmianami.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dla sklepów internetowych może stanowić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indywidualnym dostosowywaniu ceny do konsumenta na podstawie zebranych danych na temat jego preferencji i zachowań konsumenckich</w:t>
      </w:r>
      <w:r>
        <w:rPr>
          <w:rFonts w:ascii="calibri" w:hAnsi="calibri" w:eastAsia="calibri" w:cs="calibri"/>
          <w:sz w:val="24"/>
          <w:szCs w:val="24"/>
        </w:rPr>
        <w:t xml:space="preserve">, jeśli takie działania mają miejsce - szczególnie w przypadku organizacji złożonych akcji promocyjnych i dynamicznego ustalania cen w przypadku obniżek kierowanych do wybranych grup klientów. Przepisy nie określają, jak należy postępować w takich sytuacjach. Za niedostosowanie się do nowych wymogów prawa grożą</w:t>
      </w:r>
      <w:r>
        <w:rPr>
          <w:rFonts w:ascii="calibri" w:hAnsi="calibri" w:eastAsia="calibri" w:cs="calibri"/>
          <w:sz w:val="24"/>
          <w:szCs w:val="24"/>
          <w:b/>
        </w:rPr>
        <w:t xml:space="preserve"> wysokie kary</w:t>
      </w:r>
      <w:r>
        <w:rPr>
          <w:rFonts w:ascii="calibri" w:hAnsi="calibri" w:eastAsia="calibri" w:cs="calibri"/>
          <w:sz w:val="24"/>
          <w:szCs w:val="24"/>
        </w:rPr>
        <w:t xml:space="preserve"> - może to być nawet</w:t>
      </w:r>
      <w:r>
        <w:rPr>
          <w:rFonts w:ascii="calibri" w:hAnsi="calibri" w:eastAsia="calibri" w:cs="calibri"/>
          <w:sz w:val="24"/>
          <w:szCs w:val="24"/>
          <w:b/>
        </w:rPr>
        <w:t xml:space="preserve"> 2 mln zł dla osoby zarządzającej sklepem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obrotu z poprzedniego roku</w:t>
      </w:r>
      <w:r>
        <w:rPr>
          <w:rFonts w:ascii="calibri" w:hAnsi="calibri" w:eastAsia="calibri" w:cs="calibri"/>
          <w:sz w:val="24"/>
          <w:szCs w:val="24"/>
        </w:rPr>
        <w:t xml:space="preserve">. Za kontrole oraz nakładanie kar będzie odpowiadać Inspekcja Handlowa. Dodatkowo, jeżeli przedsiębiorcy będą stosować fikcyjne obniżki, Prezes Urzędu Ochrony Konkurencji i Konsumentów, może uznać taką praktykę za naruszającą zbiorowe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Tomasz Palak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Regulacje prawne wynikające z Dyrektywy Omnibus wydają się być krokiem sprzyjającym przejrzystości w handlu internetowym. Najwięcej mówi się oczywiście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uniemożliwieniu sztucznych podwyżek cen tylko po to, by potem móc je znacząco obniżyć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np. przed Black Friday. Ale to nie wszystko. Zwróciłbym też uwagę na nowe obowiązki platform typu marketplace w zakresie wyróżniania płatnych wyników wyszukiwania. Dotąd była to kwestia wewnętrznych polityk portali, Omnibus zmusi je do czytelnego informowania o fakcie, że dane wyniki są wyżej w wyszukiwarce, bo zostały opłacone. Bardzo możliwe jest jednak niedotrzymanie przez nasz kraj terminu wdrożenia nowej regulacji, a na polską wersję omnibusowej ustawy jeszcze sobie poczekamy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zwalnia to jednak przedsiębiorców z konieczności podporządkowania się prawu unijnemu.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przepisach dotyczą zarówno nowych sklepów, jak i tych już funkcjonujących. Ze szczegółowym opisem nowych regulacji oraz ich wpływem na eCommerce można zapoznać się w 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„New Deal dla konsumentów a nowa rzeczywistość eCommerców. Przygotuj się na dyrektywę Omnibus”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przygotowanym przez ekspertów z branży eCommerce. </w:t>
      </w:r>
      <w:r>
        <w:rPr>
          <w:rFonts w:ascii="calibri" w:hAnsi="calibri" w:eastAsia="calibri" w:cs="calibri"/>
          <w:sz w:val="24"/>
          <w:szCs w:val="24"/>
          <w:b/>
        </w:rPr>
        <w:t xml:space="preserve">Do 28 maja 2022 r.</w:t>
      </w:r>
      <w:r>
        <w:rPr>
          <w:rFonts w:ascii="calibri" w:hAnsi="calibri" w:eastAsia="calibri" w:cs="calibri"/>
          <w:sz w:val="24"/>
          <w:szCs w:val="24"/>
        </w:rPr>
        <w:t xml:space="preserve"> każdy sklep internetowy powinien dostosować swoją dokumentację oraz regulaminy do nowych przepisów, a także wdrożyć nowe procedury funkcjonowania w zakresie obsługi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blog/zwyczaje-e-zakupowe-polakow-raport-advox-studio-czesc-2" TargetMode="External"/><Relationship Id="rId8" Type="http://schemas.openxmlformats.org/officeDocument/2006/relationships/hyperlink" Target="https://www.advox.pl/ebook-omni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2025-07-01T01:19:12+02:00</dcterms:created>
  <dcterms:modified xsi:type="dcterms:W3CDTF">2025-07-01T01:19:12+02:00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