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Usługi kurierskie z dwukrotnym wzrostem w ostatniej dekadzie. Branża spożywcza i gastronomiczna z impetem wkracza do Internetu - w 2021 6,5 tys. firm weszło do online’u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Sektory spożywczy i gastronomiczny dynamicznie rozwijają działalność online - tylko w 2021 r. niemal 4 tys. sklepów spożywczych oraz 2,5 tys. lokali gastronomicznych dodało do podstawowej działalności w KRS kod oznaczający sprzedaż przez Internet, która współcześnie staje się standardem. Przekłada się to na dynamiczny rozwój sektora usług kurierskich. Jednak tutaj dominują małe i jednoosobowe działalności, z których większość boryka się z problemami finansowymi. Z analizą tego, jak poszczególne branże zmieniły się i przeszły transformację cyfrową w ciągu ostatnich dwóch lat, można zapoznać się w najnowszym e-booku polskiego software house’u Advox Studio, specjalizującego się w eCommerce.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Ostatnie dwa lata były bardzo trudne dla branży gastronomicznej. Wielu przedsiębiorców, by ratować się przed stratami i bankructwem, zdecydowało się na poszerzenie swojej oferty o sprzedaż jedzenia na wynos i w dostawie. </w:t>
      </w:r>
      <w:r>
        <w:rPr>
          <w:rFonts w:ascii="calibri" w:hAnsi="calibri" w:eastAsia="calibri" w:cs="calibri"/>
          <w:sz w:val="24"/>
          <w:szCs w:val="24"/>
          <w:b/>
        </w:rPr>
        <w:t xml:space="preserve">Tylko w 2021 r. 2,5 tys. właścicieli gastronomii dodało do swojej głównej działalności w KRS kod branżowy oznaczający sprzedaż przez Internet</w:t>
      </w:r>
      <w:r>
        <w:rPr>
          <w:rFonts w:ascii="calibri" w:hAnsi="calibri" w:eastAsia="calibri" w:cs="calibri"/>
          <w:sz w:val="24"/>
          <w:szCs w:val="24"/>
        </w:rPr>
        <w:t xml:space="preserve">, jak wynika z nowej analizy przeprowadzonej przez globalną wywiadownię gospodarczą Dun &amp; Bradstreet. Ta strategia do pewnego stopnia okazała się skuteczna - w ubiegłym roku mimo trudnego czasu w KRS przybyło 3 tys. lokali gastronomicznych. Jednak w pierwszym kwartale 2022 r. liczba ta nie zwiększyła się.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¾ firm gastronomicznych jest w złej kondycji finansowej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 kondycja finansowa branży uległa pogorszeniu - w marcu 2022 r. aż </w:t>
      </w:r>
      <w:r>
        <w:rPr>
          <w:rFonts w:ascii="calibri" w:hAnsi="calibri" w:eastAsia="calibri" w:cs="calibri"/>
          <w:sz w:val="24"/>
          <w:szCs w:val="24"/>
          <w:b/>
        </w:rPr>
        <w:t xml:space="preserve">78 proc. firm znajdowało się w złej lub bardzo złej kondycji finansowej</w:t>
      </w:r>
      <w:r>
        <w:rPr>
          <w:rFonts w:ascii="calibri" w:hAnsi="calibri" w:eastAsia="calibri" w:cs="calibri"/>
          <w:sz w:val="24"/>
          <w:szCs w:val="24"/>
        </w:rPr>
        <w:t xml:space="preserve">. Z pozostałych 22 proc. kondycję zaledwie 3,7 proc. można określić jako bardzo dobrą. </w:t>
      </w:r>
      <w:r>
        <w:rPr>
          <w:rFonts w:ascii="calibri" w:hAnsi="calibri" w:eastAsia="calibri" w:cs="calibri"/>
          <w:sz w:val="24"/>
          <w:szCs w:val="24"/>
          <w:b/>
        </w:rPr>
        <w:t xml:space="preserve">W najgorszej sytuacji są firmy cateringowe</w:t>
      </w:r>
      <w:r>
        <w:rPr>
          <w:rFonts w:ascii="calibri" w:hAnsi="calibri" w:eastAsia="calibri" w:cs="calibri"/>
          <w:sz w:val="24"/>
          <w:szCs w:val="24"/>
        </w:rPr>
        <w:t xml:space="preserve"> - liczba tych w złej lub bardzo złej kondycji finansowej w ciągu roku wzrosła z 60 proc. do ponad 77 proc. Oznacza to, że aż ⅔ z nich odczuwa obecnie mniejsze lub większe problemy finansowe. W opinii Dun &amp; Bradstreet wynika to z ograniczeń w organizacji wesel, imprez i różnego rodzaju zgromadzeń.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Rynek gastronomiczny w Polsce pozostawał w dobrej kondycji przez ponad 10 lat, a jego wartość rosła</w:t>
      </w:r>
      <w:r>
        <w:rPr>
          <w:rFonts w:ascii="calibri" w:hAnsi="calibri" w:eastAsia="calibri" w:cs="calibri"/>
          <w:sz w:val="24"/>
          <w:szCs w:val="24"/>
        </w:rPr>
        <w:t xml:space="preserve"> -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, software house’u z główną siedzibą w Poznaniu i oddziałami w Europie, który zrealizował ponad 200 projektów sklepów internetowych -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Przed marcem 2020 dostawa stanowiła mniej niż 10 proc. obrotów lokali gastronomicznych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W 2020 r. wartość branży spadła aż o 32 proc., a dostawy szybko stały się dla wielu miejsc jedynym źródłem przychodów. Teraz możliwość dostawy to w zasadzie standard, konsumenci cenią sobie wygodę tego rozwiązania. Firmy łączą ten trend z q-commerce i starają się oferować klientom jak najszybszy dowóz zamówień. Kryzys sprowadził więc na gastronomię ogromne problemy, ale jednocześnie stał się szansą na rozwój. To dotyczy zresztą wielu branż, o których szczegółowo piszemy w naszym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opracowaniu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na temat tego, jak pandemia wymusiła transformację cyfrową.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branż, które w ciągu ostatnich dwóch lat bardzo rozwinęły działalność w Internecie, jest branża spożywcza. Według analizy KRS od Dun &amp; Bradstreet to właśnie </w:t>
      </w:r>
      <w:r>
        <w:rPr>
          <w:rFonts w:ascii="calibri" w:hAnsi="calibri" w:eastAsia="calibri" w:cs="calibri"/>
          <w:sz w:val="24"/>
          <w:szCs w:val="24"/>
          <w:b/>
        </w:rPr>
        <w:t xml:space="preserve">sklepy spożywcze najczęściej dodawały do swojej podstawowej działalności kod PKD oznaczający sprzedaż przez Internet - w sumie blisko 4 tys. firm tylko w 2021 r.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branży kurierskiej w dobrej sytuacji finansowej są tylko duże i znane firmy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dostaw i sprzedaży internetowej przełożył się na rozwój branży kurierskiej. Według Dun &amp; Bradstreet </w:t>
      </w:r>
      <w:r>
        <w:rPr>
          <w:rFonts w:ascii="calibri" w:hAnsi="calibri" w:eastAsia="calibri" w:cs="calibri"/>
          <w:sz w:val="24"/>
          <w:szCs w:val="24"/>
          <w:b/>
        </w:rPr>
        <w:t xml:space="preserve">liczba firm kurierskich, która w ciągu ostatniej dekady i tak zwiększyła się dwukrotnie, w ciągu ostatnich dwóch lat rosła w tempie dwucyfrowym</w:t>
      </w:r>
      <w:r>
        <w:rPr>
          <w:rFonts w:ascii="calibri" w:hAnsi="calibri" w:eastAsia="calibri" w:cs="calibri"/>
          <w:sz w:val="24"/>
          <w:szCs w:val="24"/>
        </w:rPr>
        <w:t xml:space="preserve">. Obecnie w tym sektorze jest zarejestrowanych 7,5 tys. podmiotów.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2020 r. wzrost wolumenu dostarczanych paczek wyniósł 44 proc., przychody firm kurierskich wzrosły o 1,7 mld zł w stosunku do 2019 r., a wartość rynku przesyłek pocztowych osiągnęła 11,5 mld zł. Paczkomaty - nie tylko InPostu, bo własną sieć maszyn do odbioru paczek rozwijają również Poczta Polska, Allegro, PKN Orlen czy Aliexpress - stoją już niemal na każdym zakręcie.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Obecnie firmy kurierskie mierzą się z nowym wyzwaniem, jakim jest rosnąca popularność q-commerce i konieczność zapewnienia odbiorcom jak najkrótszego czasu dostawy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co wymaga usprawnienia łańcucha dostaw i sieci logistycznych. Analitycy przewidują, że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 2023 r. wartość rynku pocztowego osiągnie 16,2 mld zł przy obsłudze ponad miliarda przesyłek rocznie</w:t>
      </w:r>
      <w:r>
        <w:rPr>
          <w:rFonts w:ascii="calibri" w:hAnsi="calibri" w:eastAsia="calibri" w:cs="calibri"/>
          <w:sz w:val="24"/>
          <w:szCs w:val="24"/>
        </w:rPr>
        <w:t xml:space="preserve"> - dodaje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dynamiczny rozwój, jeśli chodzi o liczbę firm kurierskich, nie idzie w parze z dobrą kondycją finansową sektora, </w:t>
      </w:r>
      <w:r>
        <w:rPr>
          <w:rFonts w:ascii="calibri" w:hAnsi="calibri" w:eastAsia="calibri" w:cs="calibri"/>
          <w:sz w:val="24"/>
          <w:szCs w:val="24"/>
          <w:b/>
        </w:rPr>
        <w:t xml:space="preserve">mniejsze lub większe kłopoty finansowe ma w sumie ¾ podmiotów</w:t>
      </w:r>
      <w:r>
        <w:rPr>
          <w:rFonts w:ascii="calibri" w:hAnsi="calibri" w:eastAsia="calibri" w:cs="calibri"/>
          <w:sz w:val="24"/>
          <w:szCs w:val="24"/>
        </w:rPr>
        <w:t xml:space="preserve">. W dobrej sytuacji finansowej są firmy duże i znane, ale </w:t>
      </w:r>
      <w:r>
        <w:rPr>
          <w:rFonts w:ascii="calibri" w:hAnsi="calibri" w:eastAsia="calibri" w:cs="calibri"/>
          <w:sz w:val="24"/>
          <w:szCs w:val="24"/>
          <w:b/>
        </w:rPr>
        <w:t xml:space="preserve">w branży dominują małe i jednoosobowe działalności i to one przede wszystkim borykają się z problemami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najnowszym e-booku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„Jak pandemia zmieniła rynek? Transformacja cyfrowa w wybranych branżach”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przygotowanym przez ekspertów z branży eCommerce można zapoznać się z analizą sytuacji branż najbardziej zmienionych przez pandemię, szczególnie w zakresie transformacji cyfrowej. Eksperci wskazują również trendy, które będą kształtować sytuację i rynek w najbliższych latach.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badania Dun &amp; Bradstreet przeprowadzonego w marcu 2022 r. Analizie poddano dane z rejestru KRS. W przypadku spółek prawa handlowego sytuacja finansowa firmy była oceniana na podstawie bilansu i rachunków wyników, natomiast w przypadku podmiotów nieprowadzących pełnej księgowości, co wśród sprzedawców detalicznych zdarza się dość często, oparto się na przychodach, kosztach i wyniku finansowym firmy. Główne czynniki wpływające na ocenę to wskaźnik płynności, zadłużenia, rentowności, zdolność finansowa, poziom zarejestrowanych przeterminowanych płatności oraz zarejestrowane wnioski o upadłość, lub postępowanie naprawcze, ogłoszenie upadłości, rozpoczęcie procesu likwidacji oraz negatywne sygnały prasowe.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dvox.pl/ebook-pandem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2025-07-01T01:10:00+02:00</dcterms:created>
  <dcterms:modified xsi:type="dcterms:W3CDTF">2025-07-01T01:10:00+02:00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